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1329" w14:textId="3DFB23E1" w:rsidR="008D5DCA" w:rsidRDefault="008D5DCA" w:rsidP="008D5DCA">
      <w:pPr>
        <w:pStyle w:val="Titre1"/>
        <w:spacing w:before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CHARTE DE QUALITE DES ORGANISMES DE FOR</w:t>
      </w:r>
      <w:r w:rsidR="00623D64">
        <w:rPr>
          <w:rFonts w:ascii="Calibri" w:hAnsi="Calibri"/>
        </w:rPr>
        <w:t xml:space="preserve">MATION PROFESSIONNELLE </w:t>
      </w:r>
      <w:r w:rsidR="00950BC6">
        <w:rPr>
          <w:rFonts w:ascii="Calibri" w:hAnsi="Calibri"/>
        </w:rPr>
        <w:t>AGREES</w:t>
      </w:r>
      <w:r>
        <w:rPr>
          <w:rFonts w:ascii="Calibri" w:hAnsi="Calibri"/>
        </w:rPr>
        <w:t xml:space="preserve"> POUR LA DELIVRANCE DES CREDITS DE FORMATION CONTINUE VETERINAIRE</w:t>
      </w:r>
      <w:r w:rsidR="00DE4F37">
        <w:rPr>
          <w:rFonts w:ascii="Calibri" w:hAnsi="Calibri"/>
        </w:rPr>
        <w:t xml:space="preserve"> (CFC)</w:t>
      </w:r>
    </w:p>
    <w:tbl>
      <w:tblPr>
        <w:tblW w:w="114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</w:tblGrid>
      <w:tr w:rsidR="008D5DCA" w:rsidRPr="00A96A61" w14:paraId="7B20FC6D" w14:textId="77777777" w:rsidTr="00082D27">
        <w:trPr>
          <w:trHeight w:val="150"/>
          <w:tblCellSpacing w:w="0" w:type="dxa"/>
          <w:jc w:val="center"/>
        </w:trPr>
        <w:tc>
          <w:tcPr>
            <w:tcW w:w="11475" w:type="dxa"/>
            <w:vAlign w:val="center"/>
            <w:hideMark/>
          </w:tcPr>
          <w:tbl>
            <w:tblPr>
              <w:tblW w:w="114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167"/>
            </w:tblGrid>
            <w:tr w:rsidR="008D5DCA" w:rsidRPr="00A96A61" w14:paraId="419CBDF0" w14:textId="77777777" w:rsidTr="00082D27">
              <w:trPr>
                <w:tblCellSpacing w:w="0" w:type="dxa"/>
              </w:trPr>
              <w:tc>
                <w:tcPr>
                  <w:tcW w:w="493" w:type="dxa"/>
                  <w:hideMark/>
                </w:tcPr>
                <w:p w14:paraId="0BB1F672" w14:textId="77777777" w:rsidR="008D5DCA" w:rsidRPr="00A96A61" w:rsidRDefault="008D5DCA" w:rsidP="00082D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7D104E9" wp14:editId="08B6369D">
                        <wp:extent cx="95250" cy="622935"/>
                        <wp:effectExtent l="0" t="0" r="0" b="0"/>
                        <wp:docPr id="2" name="Image 2" descr="http://www.cnvfcc.veterinaire.fr/iso_icons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ttp://www.cnvfcc.veterinaire.fr/iso_icons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2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82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14:paraId="45483247" w14:textId="77777777" w:rsidR="008D5DCA" w:rsidRPr="00A96A61" w:rsidRDefault="008D5DCA" w:rsidP="00082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7"/>
                  </w:tblGrid>
                  <w:tr w:rsidR="008D5DCA" w:rsidRPr="00A96A61" w14:paraId="424022D1" w14:textId="77777777" w:rsidTr="00082D27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0867"/>
                        </w:tblGrid>
                        <w:tr w:rsidR="008D5DCA" w:rsidRPr="00A96A61" w14:paraId="721C4944" w14:textId="77777777" w:rsidTr="001D6991">
                          <w:trPr>
                            <w:trHeight w:val="291"/>
                            <w:tblCellSpacing w:w="0" w:type="dxa"/>
                          </w:trPr>
                          <w:tc>
                            <w:tcPr>
                              <w:tcW w:w="10832" w:type="dxa"/>
                              <w:gridSpan w:val="2"/>
                              <w:vAlign w:val="center"/>
                              <w:hideMark/>
                            </w:tcPr>
                            <w:p w14:paraId="7DBDB6D7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  <w:bookmarkStart w:id="0" w:name="I00001c0e"/>
                              <w:bookmarkEnd w:id="0"/>
                            </w:p>
                          </w:tc>
                        </w:tr>
                        <w:tr w:rsidR="008D5DCA" w:rsidRPr="00A96A61" w14:paraId="1671C847" w14:textId="77777777" w:rsidTr="001D699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233BCF3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59E1F3" wp14:editId="003E1AF9">
                                    <wp:extent cx="95250" cy="95250"/>
                                    <wp:effectExtent l="0" t="0" r="0" b="0"/>
                                    <wp:docPr id="3" name="Image 5" descr="http://www.cnvfcc.veterinaire.fr/iso_icons/empty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http://www.cnvfcc.veterinaire.fr/iso_icons/empty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682" w:type="dxa"/>
                              <w:vAlign w:val="center"/>
                              <w:hideMark/>
                            </w:tcPr>
                            <w:p w14:paraId="55E48ADF" w14:textId="77777777" w:rsidR="008D5DCA" w:rsidRPr="00ED1FEF" w:rsidRDefault="008D5DCA" w:rsidP="00950BC6">
                              <w:pPr>
                                <w:spacing w:after="100" w:afterAutospacing="1" w:line="240" w:lineRule="auto"/>
                                <w:jc w:val="both"/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79D0E614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3BB069A0" w14:textId="5BA7BB0C" w:rsidR="008D5DCA" w:rsidRPr="00ED1FEF" w:rsidRDefault="008D5DCA" w:rsidP="00950BC6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 w:rsidRPr="00ED1FEF">
                                      <w:t xml:space="preserve">Les organismes de formation </w:t>
                                    </w:r>
                                    <w:r w:rsidR="00950BC6">
                                      <w:t>agréés</w:t>
                                    </w:r>
                                    <w:r w:rsidRPr="00ED1FEF">
                                      <w:t xml:space="preserve"> par le </w:t>
                                    </w:r>
                                    <w:r w:rsidR="00080947">
                                      <w:t xml:space="preserve">CNOV </w:t>
                                    </w:r>
                                    <w:r w:rsidRPr="00ED1FEF">
                                      <w:t>pour la délivrance des CFC s’engagent à respecter une charte de qualité comprenant notamment :</w:t>
                                    </w:r>
                                  </w:p>
                                </w:tc>
                              </w:tr>
                              <w:tr w:rsidR="008D5DCA" w:rsidRPr="00ED1FEF" w14:paraId="10399829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5E178DFE" w14:textId="77777777" w:rsidR="008D5DCA" w:rsidRPr="00ED1FEF" w:rsidRDefault="008D5DCA" w:rsidP="00950BC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La rédaction d’une fiche descriptive de la formation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48AF2583" w14:textId="77777777" w:rsidR="008D5DCA" w:rsidRPr="00ED1FEF" w:rsidRDefault="008D5DCA" w:rsidP="00950BC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Le contrôle de la présence effective du participant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023EDD13" w14:textId="77777777" w:rsidR="008D5DCA" w:rsidRPr="00ED1FEF" w:rsidRDefault="008D5DCA" w:rsidP="00950BC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Le contrôle de l’acquisition des savoirs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40B3C425" w14:textId="77777777" w:rsidR="008D5DCA" w:rsidRPr="00ED1FEF" w:rsidRDefault="008D5DCA" w:rsidP="00950BC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L’évaluation de la formation par les participants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4B7899A8" w14:textId="1822BA5A" w:rsidR="008D5DCA" w:rsidRPr="00ED1FEF" w:rsidRDefault="008D5DCA" w:rsidP="00950BC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Le mode de calcul des CFC</w:t>
                                    </w:r>
                                    <w:r w:rsidR="007C73C3">
                                      <w:t>.</w:t>
                                    </w:r>
                                  </w:p>
                                  <w:p w14:paraId="6CABA72F" w14:textId="55389263" w:rsidR="008D5DCA" w:rsidRPr="00ED1FEF" w:rsidRDefault="008D5DCA" w:rsidP="00DE4F37">
                                    <w:pPr>
                                      <w:spacing w:before="100" w:beforeAutospacing="1" w:after="100" w:afterAutospacing="1" w:line="240" w:lineRule="auto"/>
                                      <w:ind w:left="720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14:paraId="0C8F0788" w14:textId="77777777" w:rsidR="008D5DCA" w:rsidRPr="00ED1FEF" w:rsidRDefault="008D5DCA" w:rsidP="00082D27">
                              <w:pPr>
                                <w:spacing w:after="0" w:line="240" w:lineRule="auto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3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0EAABB5E" w14:textId="77777777" w:rsidTr="00082D27">
                                <w:trPr>
                                  <w:trHeight w:val="15"/>
                                  <w:tblCellSpacing w:w="3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88888"/>
                                    <w:vAlign w:val="center"/>
                                    <w:hideMark/>
                                  </w:tcPr>
                                  <w:p w14:paraId="6620AD71" w14:textId="77777777" w:rsidR="008D5DCA" w:rsidRPr="00ED1FEF" w:rsidRDefault="008D5DCA" w:rsidP="00082D27">
                                    <w:pPr>
                                      <w:spacing w:after="0" w:line="15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99D60F3" wp14:editId="559D47B5">
                                          <wp:extent cx="10160" cy="10160"/>
                                          <wp:effectExtent l="0" t="0" r="0" b="0"/>
                                          <wp:docPr id="4" name="Image 6" descr="http://www.cnvfcc.veterinaire.fr/iso_icons/empty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6" descr="http://www.cnvfcc.veterinaire.fr/iso_icons/empty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60" cy="101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8D5DCA" w:rsidRPr="00ED1FEF" w14:paraId="05F39FB8" w14:textId="77777777" w:rsidTr="00082D27">
                                <w:tblPrEx>
                                  <w:jc w:val="left"/>
                                  <w:tblCellSpacing w:w="0" w:type="dxa"/>
                                  <w:tblCell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6E2CD87" w14:textId="77777777" w:rsidR="008D5DCA" w:rsidRPr="00ED1FEF" w:rsidRDefault="008D5DCA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  <w:bCs/>
                                      </w:rPr>
                                      <w:t>1. Rédaction d’une fiche descriptive de la formation comprenant la présentation :</w:t>
                                    </w:r>
                                  </w:p>
                                </w:tc>
                              </w:tr>
                            </w:tbl>
                            <w:p w14:paraId="6E4309FE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</w:p>
                            <w:p w14:paraId="1CE33F4D" w14:textId="77777777" w:rsidR="008D5DCA" w:rsidRDefault="008D5DCA" w:rsidP="00950BC6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>: des objectifs pédagogiques généraux de la formation</w:t>
                              </w:r>
                              <w:r>
                                <w:t>,</w:t>
                              </w:r>
                              <w:r w:rsidRPr="00ED1FEF">
                                <w:t xml:space="preserve"> ainsi que la liste des savoirs, des savoir-faire et des savoir-être devant être acquis à l’issue de la formation</w:t>
                              </w:r>
                              <w:r w:rsidR="00950BC6">
                                <w:t> ;</w:t>
                              </w:r>
                            </w:p>
                            <w:p w14:paraId="55002159" w14:textId="54C37798" w:rsidR="008D5DCA" w:rsidRDefault="008D5DCA" w:rsidP="00950BC6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 xml:space="preserve">: des </w:t>
                              </w:r>
                              <w:r w:rsidR="00276788" w:rsidRPr="00ED1FEF">
                                <w:t>prérequis</w:t>
                              </w:r>
                              <w:r w:rsidRPr="00ED1FEF">
                                <w:t xml:space="preserve"> de la formation</w:t>
                              </w:r>
                              <w:r w:rsidR="00950BC6">
                                <w:t> ;</w:t>
                              </w:r>
                            </w:p>
                            <w:p w14:paraId="010C2BE7" w14:textId="77777777" w:rsidR="008D5DCA" w:rsidRDefault="008D5DCA" w:rsidP="00950BC6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>: du programme de la formation</w:t>
                              </w:r>
                              <w:r w:rsidR="00950BC6">
                                <w:t> ;</w:t>
                              </w:r>
                            </w:p>
                            <w:p w14:paraId="4AFCE4DB" w14:textId="52554D2E" w:rsidR="008D5DCA" w:rsidRDefault="008D5DCA" w:rsidP="00950BC6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> : des formateurs</w:t>
                              </w:r>
                              <w:r>
                                <w:t>,</w:t>
                              </w:r>
                              <w:r w:rsidRPr="00ED1FEF">
                                <w:t xml:space="preserve"> avec mention de leurs titres et diplômes</w:t>
                              </w:r>
                              <w:r w:rsidR="00950BC6">
                                <w:t>, et de leurs liens d’intérêt éventuels</w:t>
                              </w:r>
                              <w:r w:rsidR="004D17A2">
                                <w:t xml:space="preserve"> (CV)</w:t>
                              </w:r>
                              <w:r w:rsidR="00950BC6">
                                <w:t> ;</w:t>
                              </w:r>
                            </w:p>
                            <w:p w14:paraId="62E47847" w14:textId="77777777" w:rsidR="008D5DCA" w:rsidRDefault="008D5DCA" w:rsidP="00950BC6">
                              <w:pPr>
                                <w:numPr>
                                  <w:ilvl w:val="1"/>
                                  <w:numId w:val="4"/>
                                </w:numPr>
                                <w:spacing w:after="100" w:afterAutospacing="1" w:line="240" w:lineRule="auto"/>
                                <w:jc w:val="both"/>
                              </w:pPr>
                              <w:r>
                                <w:t xml:space="preserve"> </w:t>
                              </w:r>
                              <w:r w:rsidRPr="00ED1FEF">
                                <w:t>: des modalités de transmission des connaissances selon la définition du tableau</w:t>
                              </w:r>
                              <w:r w:rsidR="00950BC6">
                                <w:t> :</w:t>
                              </w:r>
                              <w:r w:rsidRPr="00ED1FEF">
                                <w:t xml:space="preserve"> </w:t>
                              </w:r>
                            </w:p>
                            <w:tbl>
                              <w:tblPr>
                                <w:tblW w:w="4750" w:type="pct"/>
                                <w:tblCellSpacing w:w="7" w:type="dxa"/>
                                <w:shd w:val="clear" w:color="auto" w:fill="FF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2"/>
                                <w:gridCol w:w="5557"/>
                                <w:gridCol w:w="3095"/>
                              </w:tblGrid>
                              <w:tr w:rsidR="008D5DCA" w:rsidRPr="00ED1FEF" w14:paraId="7ED13DCF" w14:textId="77777777" w:rsidTr="00082D27">
                                <w:trPr>
                                  <w:trHeight w:val="51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1E73579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</w:rPr>
                                      <w:t>Modalités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DFB628F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</w:rPr>
                                      <w:t>Caractéristiques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000EEAD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</w:rPr>
                                      <w:t>Ratio minimum formateurs/participants</w:t>
                                    </w:r>
                                  </w:p>
                                </w:tc>
                              </w:tr>
                              <w:tr w:rsidR="008D5DCA" w:rsidRPr="00ED1FEF" w14:paraId="1844B2D0" w14:textId="77777777" w:rsidTr="00082D27">
                                <w:trPr>
                                  <w:trHeight w:val="54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C3D1BAC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Exposé *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F5B5780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Déclaratif</w:t>
                                    </w:r>
                                    <w:r w:rsidR="00950BC6">
                                      <w:t>,</w:t>
                                    </w:r>
                                    <w:r w:rsidRPr="00ED1FEF">
                                      <w:t xml:space="preserve"> associant éventuellement des questions à l’auditoire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E387DF3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ED1FEF">
                                      <w:t>Indifférent</w:t>
                                    </w:r>
                                  </w:p>
                                </w:tc>
                              </w:tr>
                              <w:tr w:rsidR="008D5DCA" w:rsidRPr="00ED1FEF" w14:paraId="0C8CA63D" w14:textId="77777777" w:rsidTr="00082D27">
                                <w:trPr>
                                  <w:trHeight w:val="5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E8C9FBE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Démonstration *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3D90F1F" w14:textId="709C762B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 xml:space="preserve">Réalisation effective de procédures et de gestes techniques sur les supports usuels par le formateur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925DC9A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ED1FEF">
                                      <w:t>1/16</w:t>
                                    </w:r>
                                  </w:p>
                                </w:tc>
                              </w:tr>
                              <w:tr w:rsidR="008D5DCA" w:rsidRPr="00ED1FEF" w14:paraId="304F2CEE" w14:textId="77777777" w:rsidTr="00082D27">
                                <w:trPr>
                                  <w:trHeight w:val="5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AD21EAC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Travaux dirigés *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9EF5BEA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Interactions multiples permettant à chaque participant de s’exprimer et associant des temps de réflexion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EA5F906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ED1FEF">
                                      <w:t>1/16</w:t>
                                    </w:r>
                                  </w:p>
                                </w:tc>
                              </w:tr>
                              <w:tr w:rsidR="008D5DCA" w:rsidRPr="00ED1FEF" w14:paraId="3E98BEEE" w14:textId="77777777" w:rsidTr="00082D27">
                                <w:trPr>
                                  <w:trHeight w:val="5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87B6074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Travaux pratiques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030329B" w14:textId="4B2FEC74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  <w:r w:rsidRPr="00ED1FEF">
                                      <w:t>Réalisation effective de procédures et de gestes techniques sur les supports usuels par chacun des stagiaires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41256CD" w14:textId="361E1E54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ED1FEF">
                                      <w:t xml:space="preserve">1/8 en </w:t>
                                    </w:r>
                                    <w:r w:rsidR="00276788" w:rsidRPr="00ED1FEF">
                                      <w:t>uni poste</w:t>
                                    </w:r>
                                    <w:r w:rsidRPr="00ED1FEF">
                                      <w:br/>
                                      <w:t>1/12 en multipostes</w:t>
                                    </w:r>
                                  </w:p>
                                </w:tc>
                              </w:tr>
                              <w:tr w:rsidR="008D5DCA" w:rsidRPr="00ED1FEF" w14:paraId="597B350D" w14:textId="77777777" w:rsidTr="00082D27">
                                <w:trPr>
                                  <w:trHeight w:val="51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4E17CBE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Tableau 1 : Définition des modalités de transmission des connaissances.</w:t>
                                    </w:r>
                                  </w:p>
                                </w:tc>
                              </w:tr>
                            </w:tbl>
                            <w:p w14:paraId="66AF1E1E" w14:textId="52095DAA" w:rsidR="008D5DCA" w:rsidRDefault="008D5DCA" w:rsidP="00082D27">
                              <w:pPr>
                                <w:spacing w:after="0"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1FEF">
                                <w:rPr>
                                  <w:sz w:val="20"/>
                                  <w:szCs w:val="20"/>
                                </w:rPr>
                                <w:t>Remarque 1 : Les trois premières modalités de transmission des connaissances peuvent être réalis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ées par l’intermédiaire de </w:t>
                              </w:r>
                              <w:r w:rsidR="00276788">
                                <w:rPr>
                                  <w:sz w:val="20"/>
                                  <w:szCs w:val="20"/>
                                </w:rPr>
                                <w:t>e-learning</w:t>
                              </w:r>
                              <w:r w:rsidRPr="00ED1FEF">
                                <w:t>.</w:t>
                              </w:r>
                              <w:r w:rsidRPr="00ED1FEF">
                                <w:br/>
                                <w:t> </w:t>
                              </w:r>
                              <w:r w:rsidRPr="00A96A61">
                                <w:rPr>
                                  <w:sz w:val="20"/>
                                  <w:szCs w:val="20"/>
                                </w:rPr>
                                <w:t>Remarque 2 : Tout ou partie de la formation peut être dénommée selon une des modalités si au moins 75 % de l’enseignement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6A61">
                                <w:rPr>
                                  <w:sz w:val="20"/>
                                  <w:szCs w:val="20"/>
                                </w:rPr>
                                <w:t>dispensé répond à la modalité concernée.</w:t>
                              </w:r>
                            </w:p>
                            <w:p w14:paraId="67236267" w14:textId="357146EF" w:rsidR="008D5DCA" w:rsidRDefault="008D5DCA" w:rsidP="00082D27">
                              <w:pPr>
                                <w:spacing w:after="0" w:line="240" w:lineRule="auto"/>
                              </w:pPr>
                              <w:r w:rsidRPr="00A96A61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ED1FEF">
                                <w:rPr>
                                  <w:b/>
                                  <w:bCs/>
                                </w:rPr>
                                <w:t>1.6</w:t>
                              </w:r>
                              <w:r w:rsidRPr="00ED1FEF">
                                <w:t xml:space="preserve"> : des modalités de contrôle de l’acquisition des connaissances (savoirs, savoir-faire, savoir être)</w:t>
                              </w:r>
                              <w:r w:rsidR="00950BC6">
                                <w:t> ;</w:t>
                              </w:r>
                              <w:r w:rsidRPr="00ED1FEF">
                                <w:br/>
                              </w:r>
                              <w:r w:rsidRPr="00ED1FEF">
                                <w:rPr>
                                  <w:b/>
                                  <w:bCs/>
                                </w:rPr>
                                <w:t>1.7</w:t>
                              </w:r>
                              <w:r w:rsidRPr="00ED1FEF">
                                <w:t xml:space="preserve"> : du nombre de crédits heures de formation (CFC</w:t>
                              </w:r>
                              <w:r w:rsidRPr="00ED1FEF">
                                <w:rPr>
                                  <w:vertAlign w:val="subscript"/>
                                </w:rPr>
                                <w:t>ECTS</w:t>
                              </w:r>
                              <w:r w:rsidRPr="00ED1FEF">
                                <w:t>) auquel donne droit le suivi de la formation</w:t>
                              </w:r>
                              <w:r w:rsidR="00950BC6">
                                <w:t>.</w:t>
                              </w:r>
                            </w:p>
                            <w:p w14:paraId="55BB1883" w14:textId="05A843B1" w:rsidR="00080947" w:rsidRDefault="00080947" w:rsidP="00082D27">
                              <w:pPr>
                                <w:spacing w:after="0" w:line="240" w:lineRule="auto"/>
                              </w:pPr>
                            </w:p>
                            <w:p w14:paraId="23399892" w14:textId="77777777" w:rsidR="00080947" w:rsidRPr="007A75F8" w:rsidRDefault="00080947" w:rsidP="00082D27">
                              <w:pPr>
                                <w:spacing w:after="0" w:line="240" w:lineRule="auto"/>
                              </w:pPr>
                            </w:p>
                            <w:p w14:paraId="5382ECC6" w14:textId="77777777" w:rsidR="008D5DCA" w:rsidRPr="00ED1FEF" w:rsidRDefault="008D5DCA" w:rsidP="00082D2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438905A4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0C23C39" w14:textId="77777777" w:rsidR="008D5DCA" w:rsidRDefault="008D5DCA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2. Contrôle de présence du participant :</w:t>
                                    </w:r>
                                  </w:p>
                                  <w:p w14:paraId="168D3DD0" w14:textId="77777777" w:rsidR="008D5DCA" w:rsidRPr="00ED1FEF" w:rsidRDefault="008D5DCA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AA3D71" w14:textId="77777777" w:rsidR="008D5DCA" w:rsidRDefault="008D5DCA" w:rsidP="00082D27">
                              <w:p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>Cette présence doit être vérifiée par apposition de la signature du stagiaire sur une feuille de présence</w:t>
                              </w:r>
                              <w:r w:rsidR="00950BC6">
                                <w:t>,</w:t>
                              </w:r>
                              <w:r w:rsidRPr="00ED1FEF">
                                <w:t xml:space="preserve"> ou par un enregistrement informatisé</w:t>
                              </w:r>
                              <w:r w:rsidR="00950BC6">
                                <w:t>,</w:t>
                              </w:r>
                              <w:r w:rsidRPr="00ED1FEF">
                                <w:t xml:space="preserve"> pour chaque séquence continue de formation d’une journée ou moins.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64D62D61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0040239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  <w:bCs/>
                                      </w:rPr>
                                      <w:t>3. Contrôle de l’acquisition des savoirs :</w:t>
                                    </w:r>
                                  </w:p>
                                </w:tc>
                              </w:tr>
                            </w:tbl>
                            <w:p w14:paraId="0797D901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4EE9A65F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676CAB04" w14:textId="77777777" w:rsidR="008D5DCA" w:rsidRDefault="008D5DCA" w:rsidP="00082D27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 w:rsidRPr="00AC5A69">
                                      <w:t>L’acquisition des savoirs est sanctionnée par délivrance d’un des documents suivants,</w:t>
                                    </w:r>
                                    <w:r>
                                      <w:t xml:space="preserve"> validé par </w:t>
                                    </w:r>
                                    <w:r w:rsidRPr="00FC682C">
                                      <w:t>l’organisme de formation</w:t>
                                    </w:r>
                                    <w:r w:rsidRPr="00AC5A69">
                                      <w:t> :</w:t>
                                    </w:r>
                                  </w:p>
                                </w:tc>
                              </w:tr>
                              <w:tr w:rsidR="008D5DCA" w:rsidRPr="00ED1FEF" w14:paraId="6E2541B0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74A07641" w14:textId="77777777" w:rsidR="008D5DCA" w:rsidRPr="00ED1FEF" w:rsidRDefault="008D5DCA" w:rsidP="008D5DC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</w:pPr>
                                    <w:r w:rsidRPr="00ED1FEF">
                                      <w:t>Attestation de suivi de formation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4AE5A375" w14:textId="77777777" w:rsidR="008D5DCA" w:rsidRDefault="008D5DCA" w:rsidP="008D5DC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</w:pPr>
                                    <w:r w:rsidRPr="00ED1FEF">
                                      <w:t>Attestation de succès au contrôle des connaissances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66BCA57B" w14:textId="77777777" w:rsidR="008D5DCA" w:rsidRPr="00ED1FEF" w:rsidRDefault="008D5DCA" w:rsidP="008D5DCA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</w:pPr>
                                    <w:r>
                                      <w:t>Diplôme.</w:t>
                                    </w:r>
                                  </w:p>
                                </w:tc>
                              </w:tr>
                            </w:tbl>
                            <w:p w14:paraId="2655ED42" w14:textId="77777777" w:rsidR="008D5DCA" w:rsidRPr="00481720" w:rsidRDefault="008D5DCA" w:rsidP="00082D27">
                              <w:pPr>
                                <w:spacing w:after="100" w:afterAutospacing="1" w:line="240" w:lineRule="auto"/>
                                <w:rPr>
                                  <w:strike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4B5F4C35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7BBB3E" w14:textId="77777777" w:rsidR="008D5DCA" w:rsidRDefault="008D5DCA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  <w:bCs/>
                                      </w:rPr>
                                      <w:t>4. Evaluation de la formation par les participants</w:t>
                                    </w:r>
                                  </w:p>
                                  <w:p w14:paraId="2ACB1131" w14:textId="77777777" w:rsidR="008D5DCA" w:rsidRPr="00ED1FEF" w:rsidRDefault="008D5DCA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B6B11" w14:textId="77777777" w:rsidR="008D5DCA" w:rsidRPr="00ED1FEF" w:rsidRDefault="008D5DCA" w:rsidP="00950BC6">
                              <w:pPr>
                                <w:spacing w:after="100" w:afterAutospacing="1" w:line="240" w:lineRule="auto"/>
                              </w:pPr>
                              <w:r w:rsidRPr="00ED1FEF">
                                <w:t>L’évaluation de la formation par les participants peut porter sur la qualité des modalités de formation et/ou sur le degré d’atteinte des objectifs de formation.</w:t>
                              </w:r>
                              <w:r w:rsidRPr="00ED1FEF">
                                <w:br/>
                                <w:t>La rédaction de ce document par chaque participant, et pour toute session ou module de formation, est indispensable pour l’attribution des crédits heures de formation.</w:t>
                              </w:r>
                              <w:r w:rsidRPr="00ED1FEF">
                                <w:br/>
                                <w:t>A l’issue de la formation, une synthèse est réalisée et mise à disposition du responsable de la formation.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303599D1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BED9B85" w14:textId="77777777" w:rsidR="004D063D" w:rsidRDefault="004D063D" w:rsidP="00082D27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  <w:p w14:paraId="45472E89" w14:textId="106C75BD" w:rsidR="008D5DCA" w:rsidRDefault="008D5DCA" w:rsidP="00082D27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D1FEF">
                                      <w:rPr>
                                        <w:b/>
                                        <w:bCs/>
                                      </w:rPr>
                                      <w:t>5. Calcul des crédits formation continue (CFC)</w:t>
                                    </w:r>
                                  </w:p>
                                  <w:p w14:paraId="56D122EC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5AB7DA" w14:textId="41A6D48C" w:rsidR="008D5DCA" w:rsidRDefault="008D5DCA" w:rsidP="00082D27">
                              <w:pPr>
                                <w:spacing w:after="100" w:afterAutospacing="1" w:line="240" w:lineRule="auto"/>
                              </w:pPr>
                              <w:r w:rsidRPr="00ED1FEF">
                                <w:t>Les participants qui auront assisté et/ou validé la totalité de la formation (100%) et qui auront complété et retourné leur document d’évaluation se verront attribuer un nombre de crédits formation continue « CFC » calculés en réalisant le produit du nombre d’</w:t>
                              </w:r>
                              <w:r w:rsidRPr="00ED1FEF">
                                <w:rPr>
                                  <w:b/>
                                  <w:bCs/>
                                </w:rPr>
                                <w:t>heures effectives de formation</w:t>
                              </w:r>
                              <w:r w:rsidRPr="00ED1FEF">
                                <w:t xml:space="preserve"> par deux coefficients multiplicateurs, tenant compte </w:t>
                              </w:r>
                              <w:r w:rsidRPr="00ED1FEF">
                                <w:rPr>
                                  <w:b/>
                                  <w:bCs/>
                                </w:rPr>
                                <w:t>des modalités d’apprentissage</w:t>
                              </w:r>
                              <w:r w:rsidRPr="00ED1FEF">
                                <w:t xml:space="preserve"> (coef apprentissage) et des </w:t>
                              </w:r>
                              <w:r w:rsidRPr="00ED1FEF">
                                <w:rPr>
                                  <w:b/>
                                  <w:bCs/>
                                </w:rPr>
                                <w:t>modalités de contrôle d’acquisition des connaissances</w:t>
                              </w:r>
                              <w:r w:rsidRPr="00ED1FEF">
                                <w:t xml:space="preserve"> (coef connaissances). Ces coefficients sont présentés dans le tableau 2.</w:t>
                              </w:r>
                              <w:r w:rsidRPr="00ED1FEF">
                                <w:br/>
                              </w:r>
                              <w:r w:rsidRPr="00ED1FEF">
                                <w:br/>
                                <w:t xml:space="preserve">Le </w:t>
                              </w:r>
                              <w:r w:rsidRPr="00ED1FEF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coefficient apprentissage</w:t>
                              </w:r>
                              <w:r w:rsidRPr="00ED1FEF">
                                <w:t xml:space="preserve"> permet de prendre en compte la participation effective à la formation. Ce coefficient est appliqué à la totalité de la formation ou au prorata du nombre d’heures, aux différentes sessions composant la formation et présentant un exercice pédagogique différent Le </w:t>
                              </w:r>
                              <w:r w:rsidRPr="00ED1FEF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coefficient connaissances</w:t>
                              </w:r>
                              <w:r w:rsidRPr="00ED1FEF">
                                <w:t xml:space="preserve"> permet de prendre en compte le travail personnel nécessaire à l’acquisition des savoirs.</w:t>
                              </w:r>
                            </w:p>
                            <w:p w14:paraId="3834DDCB" w14:textId="5F2D93E7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728FF8FB" w14:textId="184F9CE3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414272ED" w14:textId="2D3FCC5C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038FAC3C" w14:textId="39CF1FDC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5A061F40" w14:textId="37E9BC68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1CEDB9AD" w14:textId="66F8D7CB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737B7E8E" w14:textId="4C5B359F" w:rsidR="009934C5" w:rsidRDefault="009934C5" w:rsidP="00082D27">
                              <w:pPr>
                                <w:spacing w:after="100" w:afterAutospacing="1" w:line="240" w:lineRule="auto"/>
                              </w:pPr>
                            </w:p>
                            <w:p w14:paraId="6225000F" w14:textId="77777777" w:rsidR="00276788" w:rsidRPr="00ED1FEF" w:rsidRDefault="00276788" w:rsidP="00082D27">
                              <w:pPr>
                                <w:spacing w:after="100" w:afterAutospacing="1" w:line="240" w:lineRule="auto"/>
                              </w:pPr>
                            </w:p>
                            <w:tbl>
                              <w:tblPr>
                                <w:tblW w:w="4839" w:type="pct"/>
                                <w:tblCellSpacing w:w="7" w:type="dxa"/>
                                <w:shd w:val="clear" w:color="auto" w:fill="FF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9"/>
                                <w:gridCol w:w="1686"/>
                                <w:gridCol w:w="3542"/>
                                <w:gridCol w:w="3190"/>
                              </w:tblGrid>
                              <w:tr w:rsidR="008D5DCA" w:rsidRPr="00ED1FEF" w14:paraId="6BE761C6" w14:textId="77777777" w:rsidTr="008237FF">
                                <w:trPr>
                                  <w:trHeight w:val="154"/>
                                  <w:tblCellSpacing w:w="7" w:type="dxa"/>
                                </w:trPr>
                                <w:tc>
                                  <w:tcPr>
                                    <w:tcW w:w="4986" w:type="pct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A4BE044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lastRenderedPageBreak/>
                                      <w:t>Coefficients multiplicateurs</w:t>
                                    </w:r>
                                  </w:p>
                                </w:tc>
                              </w:tr>
                              <w:tr w:rsidR="008237FF" w:rsidRPr="00ED1FEF" w14:paraId="56E167D6" w14:textId="77777777" w:rsidTr="008237FF">
                                <w:trPr>
                                  <w:trHeight w:val="249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69ED74D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Modalités</w:t>
                                    </w: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d’apprentissage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6B66DE1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Coef</w:t>
                                    </w: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apprentissage</w:t>
                                    </w: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0FA22077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Modalités de contrôle d’acquisition</w:t>
                                    </w: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des connaissances</w:t>
                                    </w: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9C432E5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Coef </w:t>
                                    </w: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  <w:t>connaissances</w:t>
                                    </w:r>
                                  </w:p>
                                </w:tc>
                              </w:tr>
                              <w:tr w:rsidR="008237FF" w:rsidRPr="00ED1FEF" w14:paraId="161D26EE" w14:textId="77777777" w:rsidTr="008237FF">
                                <w:trPr>
                                  <w:trHeight w:val="22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059651F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Exposé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0890AB7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46CC7A7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Attestation de suivi de formation</w:t>
                                    </w: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C341BD9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8237FF" w:rsidRPr="00ED1FEF" w14:paraId="7524718C" w14:textId="77777777" w:rsidTr="008237FF">
                                <w:trPr>
                                  <w:trHeight w:val="233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776B3CCB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Démonstration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68082AC2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1,5</w:t>
                                    </w: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C5D4DCA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Attestation de succès au contrôle des connaissances</w:t>
                                    </w: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427DF4C8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1FEF"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437A0" w:rsidRPr="00ED1FEF" w14:paraId="5BFB31BF" w14:textId="77777777" w:rsidTr="004D063D">
                                <w:trPr>
                                  <w:trHeight w:val="233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22F68617" w14:textId="45CF9D06" w:rsidR="001437A0" w:rsidRPr="00ED1FE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Travaux dirigés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6682E3B7" w14:textId="48C7BD2E" w:rsidR="001437A0" w:rsidRPr="00ED1FE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FABF57D" w14:textId="77777777" w:rsidR="001437A0" w:rsidRDefault="004D063D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Diplôme d’Ecole ou National</w:t>
                                    </w:r>
                                  </w:p>
                                  <w:p w14:paraId="4666C8A2" w14:textId="65A7F8CD" w:rsidR="004D063D" w:rsidRPr="00ED1FEF" w:rsidRDefault="004D063D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(CEAV, DESV, CES…)</w:t>
                                    </w: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02BD0EE" w14:textId="7800AEF4" w:rsidR="001437A0" w:rsidRPr="00ED1FEF" w:rsidRDefault="004D063D" w:rsidP="004D06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237FF" w:rsidRPr="00ED1FEF" w14:paraId="368518FB" w14:textId="77777777" w:rsidTr="004D063D">
                                <w:trPr>
                                  <w:trHeight w:val="233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9CF6846" w14:textId="637E41A2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Travaux pratiques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4E0050A" w14:textId="7DA8E2B4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12E5900" w14:textId="62D62901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A194550" w14:textId="73AF92F6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237FF" w:rsidRPr="00ED1FEF" w14:paraId="702DE0E4" w14:textId="77777777" w:rsidTr="008237FF">
                                <w:trPr>
                                  <w:trHeight w:val="13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7E4C6A5" w14:textId="755F69CB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3EA57498" w14:textId="77777777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5" w:type="pct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6C76BE16" w14:textId="77777777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13" w:type="pct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2674E27" w14:textId="77777777" w:rsidR="008237FF" w:rsidRDefault="008237FF" w:rsidP="00082D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9A9A4E" w14:textId="77777777" w:rsidR="009934C5" w:rsidRPr="009934C5" w:rsidRDefault="009934C5" w:rsidP="009934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p w14:paraId="506465D0" w14:textId="69D4F83D" w:rsidR="009934C5" w:rsidRPr="009934C5" w:rsidRDefault="009934C5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  <w:p w14:paraId="36A2CE4E" w14:textId="77777777" w:rsidR="009934C5" w:rsidRPr="009934C5" w:rsidRDefault="009934C5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Ainsi, l’équation de calcul des CFC, exprimés en ECTS (</w:t>
                              </w:r>
                              <w:proofErr w:type="spellStart"/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European</w:t>
                              </w:r>
                              <w:proofErr w:type="spellEnd"/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Credit</w:t>
                              </w:r>
                              <w:proofErr w:type="spellEnd"/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 xml:space="preserve"> Transfer System) est la suivante :</w:t>
                              </w:r>
                            </w:p>
                            <w:p w14:paraId="1ED155D6" w14:textId="2681A6A9" w:rsidR="009934C5" w:rsidRPr="00276788" w:rsidRDefault="009934C5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7678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Nombre de CFC</w:t>
                              </w:r>
                              <w:r w:rsidRPr="0027678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vertAlign w:val="subscript"/>
                                </w:rPr>
                                <w:t>(ECTS)</w:t>
                              </w:r>
                              <w:r w:rsidRPr="0027678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 = Nombre d’heures effectives de formation x Coefficient d’apprentissage x Coefficient de connaissances / 20</w:t>
                              </w:r>
                            </w:p>
                            <w:p w14:paraId="56E355C5" w14:textId="6A5E3F21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3CA8C9A7" w14:textId="324CDE64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49FC6A2F" w14:textId="73826E54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6DCF83E0" w14:textId="4D030FDA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0983F232" w14:textId="25EF0D08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5ED3AD78" w14:textId="49CE82A3" w:rsidR="004D063D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127687E0" w14:textId="77777777" w:rsidR="004D063D" w:rsidRPr="009934C5" w:rsidRDefault="004D063D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</w:p>
                            <w:p w14:paraId="5FD6C1DD" w14:textId="77777777" w:rsidR="009934C5" w:rsidRPr="009934C5" w:rsidRDefault="009934C5" w:rsidP="009934C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</w:pPr>
                              <w:r w:rsidRPr="009934C5">
                                <w:rPr>
                                  <w:rFonts w:asciiTheme="minorHAnsi" w:hAnsiTheme="minorHAnsi" w:cstheme="minorHAnsi"/>
                                  <w:color w:val="000000"/>
                                </w:rPr>
                                <w:t>Exemples d’application de cette équation :</w:t>
                              </w:r>
                            </w:p>
                            <w:tbl>
                              <w:tblPr>
                                <w:tblW w:w="10847" w:type="dxa"/>
                                <w:tblCellSpacing w:w="7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"/>
                                <w:gridCol w:w="1762"/>
                                <w:gridCol w:w="850"/>
                                <w:gridCol w:w="1815"/>
                                <w:gridCol w:w="1867"/>
                                <w:gridCol w:w="1698"/>
                                <w:gridCol w:w="2813"/>
                                <w:gridCol w:w="21"/>
                              </w:tblGrid>
                              <w:tr w:rsidR="009934C5" w:rsidRPr="009934C5" w14:paraId="3972387F" w14:textId="77777777" w:rsidTr="00CB6850">
                                <w:trPr>
                                  <w:gridBefore w:val="1"/>
                                  <w:gridAfter w:val="1"/>
                                  <w:trHeight w:val="450"/>
                                  <w:tblCellSpacing w:w="7" w:type="dxa"/>
                                </w:trPr>
                                <w:tc>
                                  <w:tcPr>
                                    <w:tcW w:w="1751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CD8344B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Type de formation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1D5B0880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Durée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861D584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Modalités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C48F993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Coefficient d’apprentissage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69B6753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Coefficient de connaissances</w:t>
                                    </w:r>
                                  </w:p>
                                </w:tc>
                                <w:tc>
                                  <w:tcPr>
                                    <w:tcW w:w="281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2D7BCC8" w14:textId="77777777" w:rsidR="009934C5" w:rsidRPr="009934C5" w:rsidRDefault="009934C5" w:rsidP="004D063D">
                                    <w:pPr>
                                      <w:spacing w:before="100" w:beforeAutospacing="1" w:after="100" w:afterAutospacing="1" w:line="240" w:lineRule="auto"/>
                                      <w:ind w:right="40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Crédit de Formation Continue - CFC</w:t>
                                    </w: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(ECTS</w:t>
                                    </w: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9934C5" w:rsidRPr="009934C5" w14:paraId="1C754325" w14:textId="77777777" w:rsidTr="00CB6850">
                                <w:trPr>
                                  <w:gridBefore w:val="1"/>
                                  <w:gridAfter w:val="1"/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1751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DEE32EE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Soirée conférences avec contrôle de connaissances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624C9A6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2C58C271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2h exposé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4283A6C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7656251C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1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1DAA83E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 x 1 x 2 / 20 = </w:t>
                                    </w:r>
                                    <w:r w:rsidRPr="009934C5">
                                      <w:rPr>
                                        <w:rFonts w:cs="Calibr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0,2</w:t>
                                    </w:r>
                                  </w:p>
                                </w:tc>
                              </w:tr>
                              <w:tr w:rsidR="009934C5" w:rsidRPr="009934C5" w14:paraId="685632BF" w14:textId="77777777" w:rsidTr="00CB6850">
                                <w:trPr>
                                  <w:gridBefore w:val="1"/>
                                  <w:gridAfter w:val="1"/>
                                  <w:trHeight w:val="1316"/>
                                  <w:tblCellSpacing w:w="7" w:type="dxa"/>
                                </w:trPr>
                                <w:tc>
                                  <w:tcPr>
                                    <w:tcW w:w="1751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599D9624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Journée théorique et pratique avec contrôle de connaissance</w:t>
                                    </w:r>
                                  </w:p>
                                </w:tc>
                                <w:tc>
                                  <w:tcPr>
                                    <w:tcW w:w="837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0D95C9A9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8h</w:t>
                                    </w:r>
                                  </w:p>
                                </w:tc>
                                <w:tc>
                                  <w:tcPr>
                                    <w:tcW w:w="1802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4665FF0F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4h exposé               </w:t>
                                    </w:r>
                                  </w:p>
                                  <w:p w14:paraId="51F6B1CC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2h démonstration</w:t>
                                    </w:r>
                                  </w:p>
                                  <w:p w14:paraId="78451C48" w14:textId="16ADEA3F" w:rsidR="009934C5" w:rsidRPr="009934C5" w:rsidRDefault="009934C5" w:rsidP="0027678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2h travaux</w:t>
                                    </w:r>
                                    <w:r w:rsidR="00276788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pratiques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0E5ADCAA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14:paraId="4ED0133D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1,5</w:t>
                                    </w:r>
                                  </w:p>
                                  <w:p w14:paraId="1F7EEED1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39C91BA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  <w:p w14:paraId="088F898E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2</w:t>
                                    </w:r>
                                  </w:p>
                                  <w:p w14:paraId="059CBF2B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1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14:paraId="695E7909" w14:textId="77777777" w:rsidR="009934C5" w:rsidRPr="009934C5" w:rsidRDefault="009934C5" w:rsidP="009934C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</w:pPr>
                                    <w:r w:rsidRPr="009934C5">
                                      <w:rPr>
                                        <w:rFonts w:cs="Calibr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[(4x1x2) + (2x1,5x2) + (2x3x2)] / 20=</w:t>
                                    </w:r>
                                    <w:r w:rsidRPr="009934C5">
                                      <w:rPr>
                                        <w:rFonts w:cs="Calibr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1,3</w:t>
                                    </w:r>
                                  </w:p>
                                </w:tc>
                              </w:tr>
                              <w:tr w:rsidR="008D5DCA" w:rsidRPr="00ED1FEF" w14:paraId="69F1E1CF" w14:textId="77777777" w:rsidTr="00CB6850">
                                <w:tblPrEx>
                                  <w:tblCellSpacing w:w="0" w:type="dxa"/>
                                  <w:shd w:val="clear" w:color="auto" w:fill="auto"/>
                                  <w:tblCellMar>
                                    <w:top w:w="45" w:type="dxa"/>
                                    <w:left w:w="45" w:type="dxa"/>
                                    <w:bottom w:w="45" w:type="dxa"/>
                                    <w:right w:w="45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14:paraId="4444A0FB" w14:textId="17E08A5D" w:rsidR="00CB6850" w:rsidRDefault="00CB6850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  <w:p w14:paraId="75D43B3F" w14:textId="0E1B3172" w:rsidR="008D5DCA" w:rsidRPr="00ED1FEF" w:rsidRDefault="009934C5" w:rsidP="00082D27">
                                    <w:pPr>
                                      <w:spacing w:before="100" w:beforeAutospacing="1" w:after="0" w:line="240" w:lineRule="auto"/>
                                      <w:outlineLvl w:val="1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6</w:t>
                                    </w:r>
                                    <w:r w:rsidR="008D5DCA" w:rsidRPr="00ED1FEF">
                                      <w:rPr>
                                        <w:b/>
                                        <w:bCs/>
                                      </w:rPr>
                                      <w:t>. Contrôle qualité</w:t>
                                    </w:r>
                                  </w:p>
                                </w:tc>
                              </w:tr>
                            </w:tbl>
                            <w:p w14:paraId="7F70C133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</w:p>
                            <w:p w14:paraId="23B0BD29" w14:textId="396C7A8A" w:rsidR="008D5DCA" w:rsidRPr="00ED1FEF" w:rsidRDefault="008D5DCA" w:rsidP="001D6991">
                              <w:pPr>
                                <w:spacing w:after="100" w:afterAutospacing="1" w:line="240" w:lineRule="auto"/>
                                <w:jc w:val="both"/>
                              </w:pPr>
                              <w:r w:rsidRPr="00ED1FEF">
                                <w:t>Le contrôle qualité s’appuie sur un auto-contrôle</w:t>
                              </w:r>
                              <w:r w:rsidR="001D6991">
                                <w:t xml:space="preserve"> annuel</w:t>
                              </w:r>
                              <w:r w:rsidRPr="00ED1FEF">
                                <w:t xml:space="preserve"> réalisé par chaque structure de formation professionnelle </w:t>
                              </w:r>
                              <w:r w:rsidR="00950BC6">
                                <w:t>agréée</w:t>
                              </w:r>
                              <w:r w:rsidRPr="00ED1FEF">
                                <w:t xml:space="preserve">. </w:t>
                              </w:r>
                              <w:r w:rsidRPr="00ED1FEF">
                                <w:br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67"/>
                              </w:tblGrid>
                              <w:tr w:rsidR="008D5DCA" w:rsidRPr="00ED1FEF" w14:paraId="2479D3AB" w14:textId="77777777" w:rsidTr="00082D2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14:paraId="4E559CA5" w14:textId="3EA60962" w:rsidR="008D5DCA" w:rsidRDefault="008D5DCA" w:rsidP="00082D27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 w:rsidRPr="00ED1FEF">
                                      <w:t xml:space="preserve">Dans le cadre du contrôle qualité, les structures </w:t>
                                    </w:r>
                                    <w:r w:rsidR="00950BC6">
                                      <w:t>agréées</w:t>
                                    </w:r>
                                    <w:r w:rsidRPr="00ED1FEF">
                                      <w:t xml:space="preserve"> doivent pouvoir fournir pour chaque formation ou session de formation :</w:t>
                                    </w:r>
                                  </w:p>
                                  <w:p w14:paraId="45673C1C" w14:textId="77777777" w:rsidR="008D5DCA" w:rsidRPr="00ED1FEF" w:rsidRDefault="008D5DCA" w:rsidP="00082D2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8D5DCA" w:rsidRPr="00ED1FEF" w14:paraId="268AE2AB" w14:textId="77777777" w:rsidTr="00082D27">
                                <w:trPr>
                                  <w:trHeight w:val="3682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70BA0443" w14:textId="77777777" w:rsidR="008D5DCA" w:rsidRDefault="008D5DCA" w:rsidP="008D5DC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La fiche descriptive de la formation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2B426093" w14:textId="77777777" w:rsidR="008D5DCA" w:rsidRDefault="008D5DCA" w:rsidP="008D5DC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</w:pPr>
                                    <w:r w:rsidRPr="00ED1FEF">
                                      <w:t>La liste des participants ayant assisté à la formation</w:t>
                                    </w:r>
                                    <w:r>
                                      <w:t>,</w:t>
                                    </w:r>
                                    <w:r w:rsidRPr="00ED1FEF">
                                      <w:t xml:space="preserve"> ainsi que l’ensemble des documents de contrôle de présence</w:t>
                                    </w:r>
                                    <w:r>
                                      <w:t> ;</w:t>
                                    </w:r>
                                  </w:p>
                                  <w:p w14:paraId="2C7F9FFA" w14:textId="77777777" w:rsidR="008D5DCA" w:rsidRPr="00ED1FEF" w:rsidRDefault="008D5DCA" w:rsidP="008D5DC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</w:pPr>
                                    <w:r w:rsidRPr="00ED1FEF">
                                      <w:t>La liste des participants ayant validé la formation</w:t>
                                    </w:r>
                                    <w:r>
                                      <w:t> ;</w:t>
                                    </w:r>
                                    <w:r w:rsidRPr="00ED1FEF">
                                      <w:t xml:space="preserve"> </w:t>
                                    </w:r>
                                  </w:p>
                                  <w:p w14:paraId="3728F29E" w14:textId="77777777" w:rsidR="008D5DCA" w:rsidRPr="007A75F8" w:rsidRDefault="008D5DCA" w:rsidP="008D5DC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</w:pPr>
                                    <w:r w:rsidRPr="00ED1FEF">
                                      <w:t>Le document de synthèse de l’évaluation de la formation ainsi que les documents sources originaux.</w:t>
                                    </w:r>
                                  </w:p>
                                  <w:p w14:paraId="38F0651A" w14:textId="77777777" w:rsidR="008D5DCA" w:rsidRPr="007A75F8" w:rsidRDefault="008D5DCA" w:rsidP="00082D27">
                                    <w:pPr>
                                      <w:spacing w:before="100" w:beforeAutospacing="1" w:after="100" w:afterAutospacing="1" w:line="240" w:lineRule="auto"/>
                                    </w:pPr>
                                  </w:p>
                                  <w:p w14:paraId="796357C8" w14:textId="77777777" w:rsidR="008D5DCA" w:rsidRPr="007A75F8" w:rsidRDefault="008D5DCA" w:rsidP="00082D27">
                                    <w:pPr>
                                      <w:spacing w:before="100" w:beforeAutospacing="1" w:after="100" w:afterAutospacing="1" w:line="240" w:lineRule="auto"/>
                                    </w:pPr>
                                  </w:p>
                                  <w:p w14:paraId="732B7C7A" w14:textId="77777777" w:rsidR="008D5DCA" w:rsidRPr="003C1CF1" w:rsidRDefault="008D5DCA" w:rsidP="00082D27"/>
                                  <w:p w14:paraId="66535904" w14:textId="77777777" w:rsidR="008D5DCA" w:rsidRDefault="008D5DCA" w:rsidP="00082D27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39268965" w14:textId="77777777" w:rsidR="008D5DCA" w:rsidRPr="00ED1FEF" w:rsidRDefault="008D5DCA" w:rsidP="00082D2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61D0471" w14:textId="77777777" w:rsidR="008D5DCA" w:rsidRPr="00A96A61" w:rsidRDefault="008D5DCA" w:rsidP="00082D2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847582" w14:textId="77777777" w:rsidR="008D5DCA" w:rsidRPr="00A96A61" w:rsidRDefault="008D5DCA" w:rsidP="00082D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52F857E" w14:textId="77777777" w:rsidR="008D5DCA" w:rsidRPr="00A96A61" w:rsidRDefault="008D5DCA" w:rsidP="00082D27">
            <w:pPr>
              <w:spacing w:after="0" w:line="1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0D0A4" w14:textId="77777777" w:rsidR="00D26E65" w:rsidRDefault="00D26E65"/>
    <w:sectPr w:rsidR="00D26E65" w:rsidSect="00D26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32CA4" w14:textId="77777777" w:rsidR="00117303" w:rsidRDefault="00117303" w:rsidP="007A37B7">
      <w:pPr>
        <w:spacing w:after="0" w:line="240" w:lineRule="auto"/>
      </w:pPr>
      <w:r>
        <w:separator/>
      </w:r>
    </w:p>
  </w:endnote>
  <w:endnote w:type="continuationSeparator" w:id="0">
    <w:p w14:paraId="6F66C992" w14:textId="77777777" w:rsidR="00117303" w:rsidRDefault="00117303" w:rsidP="007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1D19" w14:textId="50E9D3DB" w:rsidR="007A37B7" w:rsidRDefault="00080947" w:rsidP="00EC3EAF">
    <w:pPr>
      <w:pStyle w:val="Pieddepage"/>
    </w:pPr>
    <w:r>
      <w:rPr>
        <w:color w:val="C00000"/>
        <w:sz w:val="20"/>
        <w:szCs w:val="20"/>
      </w:rPr>
      <w:t>14/11/2018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34A5" w14:textId="77777777" w:rsidR="00117303" w:rsidRDefault="00117303" w:rsidP="007A37B7">
      <w:pPr>
        <w:spacing w:after="0" w:line="240" w:lineRule="auto"/>
      </w:pPr>
      <w:r>
        <w:separator/>
      </w:r>
    </w:p>
  </w:footnote>
  <w:footnote w:type="continuationSeparator" w:id="0">
    <w:p w14:paraId="74245230" w14:textId="77777777" w:rsidR="00117303" w:rsidRDefault="00117303" w:rsidP="007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67"/>
    <w:multiLevelType w:val="multilevel"/>
    <w:tmpl w:val="2E58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6D2717F"/>
    <w:multiLevelType w:val="multilevel"/>
    <w:tmpl w:val="A99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D45925"/>
    <w:multiLevelType w:val="multilevel"/>
    <w:tmpl w:val="4158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AB5AF2"/>
    <w:multiLevelType w:val="multilevel"/>
    <w:tmpl w:val="5B68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CA"/>
    <w:rsid w:val="00080947"/>
    <w:rsid w:val="00087AF0"/>
    <w:rsid w:val="000C3130"/>
    <w:rsid w:val="00117303"/>
    <w:rsid w:val="001437A0"/>
    <w:rsid w:val="001445D2"/>
    <w:rsid w:val="001544C5"/>
    <w:rsid w:val="001871D0"/>
    <w:rsid w:val="001C5B4E"/>
    <w:rsid w:val="001D6991"/>
    <w:rsid w:val="00276788"/>
    <w:rsid w:val="00291809"/>
    <w:rsid w:val="0034208C"/>
    <w:rsid w:val="003628D3"/>
    <w:rsid w:val="003D20A0"/>
    <w:rsid w:val="0047524A"/>
    <w:rsid w:val="004D063D"/>
    <w:rsid w:val="004D17A2"/>
    <w:rsid w:val="0053106D"/>
    <w:rsid w:val="005A09FF"/>
    <w:rsid w:val="00623D64"/>
    <w:rsid w:val="006C6CEC"/>
    <w:rsid w:val="007A37B7"/>
    <w:rsid w:val="007C73C3"/>
    <w:rsid w:val="008237FF"/>
    <w:rsid w:val="008D5DCA"/>
    <w:rsid w:val="009037D7"/>
    <w:rsid w:val="00950BC6"/>
    <w:rsid w:val="009934C5"/>
    <w:rsid w:val="009E1778"/>
    <w:rsid w:val="009F4EB2"/>
    <w:rsid w:val="00C024E4"/>
    <w:rsid w:val="00CB6850"/>
    <w:rsid w:val="00D26E65"/>
    <w:rsid w:val="00D75FCB"/>
    <w:rsid w:val="00DE4F37"/>
    <w:rsid w:val="00E3605F"/>
    <w:rsid w:val="00E93728"/>
    <w:rsid w:val="00EB3A7B"/>
    <w:rsid w:val="00EB77CD"/>
    <w:rsid w:val="00EC3EAF"/>
    <w:rsid w:val="00F4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70C3"/>
  <w15:docId w15:val="{550FCF5E-D19C-440E-A541-A48F8C56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CA"/>
    <w:rPr>
      <w:rFonts w:ascii="Calibri" w:eastAsia="Times New Roman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5DC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DCA"/>
    <w:rPr>
      <w:rFonts w:ascii="Cambria" w:eastAsia="Times New Roman" w:hAnsi="Cambria" w:cs="Times New Roman"/>
      <w:b/>
      <w:bCs/>
      <w:color w:val="21798E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DC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7B7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7B7"/>
    <w:rPr>
      <w:rFonts w:ascii="Calibri" w:eastAsia="Times New Roman" w:hAnsi="Calibri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0B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BC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BC6"/>
    <w:rPr>
      <w:rFonts w:ascii="Calibri" w:eastAsia="Times New Roman" w:hAnsi="Calibri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B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BC6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Anne LABOULAIS</cp:lastModifiedBy>
  <cp:revision>2</cp:revision>
  <cp:lastPrinted>2017-05-12T10:59:00Z</cp:lastPrinted>
  <dcterms:created xsi:type="dcterms:W3CDTF">2020-12-10T14:33:00Z</dcterms:created>
  <dcterms:modified xsi:type="dcterms:W3CDTF">2020-12-10T14:33:00Z</dcterms:modified>
</cp:coreProperties>
</file>